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76A98">
      <w:pPr>
        <w:spacing w:before="120" w:after="120" w:line="288" w:lineRule="auto"/>
        <w:ind w:left="0" w:firstLine="0"/>
        <w:jc w:val="center"/>
        <w:rPr>
          <w:rFonts w:ascii="Calibri" w:hAnsi="Calibri" w:eastAsia="宋体" w:cs="Times New Roman"/>
          <w:kern w:val="0"/>
          <w:szCs w:val="22"/>
        </w:rPr>
      </w:pPr>
      <w:r>
        <w:rPr>
          <w:rFonts w:ascii="Arial" w:hAnsi="Arial" w:eastAsia="等线" w:cs="Arial"/>
          <w:b/>
          <w:kern w:val="0"/>
          <w:sz w:val="22"/>
          <w:szCs w:val="22"/>
        </w:rPr>
        <w:t>跨境支付结算服务协议</w:t>
      </w:r>
    </w:p>
    <w:p w14:paraId="62C73AC7">
      <w:pPr>
        <w:spacing w:before="120" w:after="120" w:line="288" w:lineRule="auto"/>
        <w:ind w:left="0" w:firstLine="0"/>
        <w:jc w:val="left"/>
        <w:rPr>
          <w:rFonts w:ascii="Calibri" w:hAnsi="Calibri" w:eastAsia="宋体" w:cs="Times New Roman"/>
          <w:kern w:val="0"/>
          <w:szCs w:val="22"/>
        </w:rPr>
      </w:pPr>
    </w:p>
    <w:p w14:paraId="28A290F9">
      <w:pPr>
        <w:spacing w:before="120" w:after="120" w:line="288" w:lineRule="auto"/>
        <w:ind w:left="0" w:firstLine="0"/>
        <w:jc w:val="right"/>
        <w:rPr>
          <w:rFonts w:ascii="Calibri" w:hAnsi="Calibri" w:eastAsia="宋体" w:cs="Times New Roman"/>
          <w:kern w:val="0"/>
          <w:szCs w:val="22"/>
        </w:rPr>
      </w:pPr>
      <w:r>
        <w:rPr>
          <w:rFonts w:ascii="Arial" w:hAnsi="Arial" w:eastAsia="等线" w:cs="Arial"/>
          <w:b/>
          <w:kern w:val="0"/>
          <w:sz w:val="22"/>
          <w:szCs w:val="22"/>
          <w:u w:val="single"/>
        </w:rPr>
        <w:t>本合同签订地：浙江省杭州市西湖区</w:t>
      </w:r>
    </w:p>
    <w:p w14:paraId="75032594">
      <w:pPr>
        <w:spacing w:before="120" w:after="120" w:line="288" w:lineRule="auto"/>
        <w:ind w:left="0"/>
        <w:jc w:val="left"/>
        <w:rPr>
          <w:rFonts w:ascii="Calibri" w:hAnsi="Calibri" w:eastAsia="宋体" w:cs="Times New Roman"/>
          <w:kern w:val="0"/>
          <w:szCs w:val="22"/>
        </w:rPr>
      </w:pPr>
    </w:p>
    <w:p w14:paraId="3B5BAFE7">
      <w:pPr>
        <w:spacing w:before="120" w:after="120" w:line="288" w:lineRule="auto"/>
        <w:ind w:left="0"/>
        <w:jc w:val="left"/>
        <w:rPr>
          <w:rFonts w:ascii="Calibri" w:hAnsi="Calibri" w:eastAsia="宋体" w:cs="Times New Roman"/>
          <w:kern w:val="0"/>
          <w:szCs w:val="22"/>
        </w:rPr>
      </w:pPr>
    </w:p>
    <w:p w14:paraId="74A55F28">
      <w:pPr>
        <w:spacing w:before="120" w:after="120" w:line="288" w:lineRule="auto"/>
        <w:ind w:left="0" w:firstLine="0"/>
        <w:jc w:val="left"/>
        <w:rPr>
          <w:rFonts w:ascii="Calibri" w:hAnsi="Calibri" w:eastAsia="宋体" w:cs="Times New Roman"/>
          <w:kern w:val="0"/>
          <w:szCs w:val="22"/>
        </w:rPr>
      </w:pPr>
      <w:r>
        <w:rPr>
          <w:rFonts w:ascii="Arial" w:hAnsi="Arial" w:eastAsia="等线" w:cs="Arial"/>
          <w:kern w:val="0"/>
          <w:sz w:val="22"/>
          <w:szCs w:val="22"/>
        </w:rPr>
        <w:t>甲方：北京有赞支付有限公司</w:t>
      </w:r>
    </w:p>
    <w:p w14:paraId="7321F253">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 xml:space="preserve">乙方：  </w:t>
      </w:r>
    </w:p>
    <w:p w14:paraId="4500FBCF">
      <w:pPr>
        <w:spacing w:before="120" w:after="120" w:line="288" w:lineRule="auto"/>
        <w:ind w:left="0"/>
        <w:jc w:val="left"/>
        <w:rPr>
          <w:rFonts w:ascii="Calibri" w:hAnsi="Calibri" w:eastAsia="宋体" w:cs="Times New Roman"/>
          <w:kern w:val="0"/>
          <w:szCs w:val="22"/>
        </w:rPr>
      </w:pPr>
    </w:p>
    <w:p w14:paraId="140DB879">
      <w:pPr>
        <w:spacing w:before="120" w:after="120" w:line="288" w:lineRule="auto"/>
        <w:ind w:left="0"/>
        <w:jc w:val="left"/>
        <w:rPr>
          <w:rFonts w:ascii="Calibri" w:hAnsi="Calibri" w:eastAsia="宋体" w:cs="Times New Roman"/>
          <w:kern w:val="0"/>
          <w:szCs w:val="22"/>
        </w:rPr>
      </w:pPr>
    </w:p>
    <w:p w14:paraId="724D063D">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为满足中华人民共和国与其他国家或地区跨境贸易人民币支付结算的需要，推动人民币国际化，本协议甲、乙双方经协商一致，同意在符合中华人民共和国金融监管和反洗钱规定的前提下，开展跨境人民币支付结算业务。甲乙双方基于平等互利、公平自愿、诚实信用的原则，达成以下协议。</w:t>
      </w:r>
    </w:p>
    <w:p w14:paraId="10E9621B">
      <w:pPr>
        <w:spacing w:before="120" w:after="120" w:line="288" w:lineRule="auto"/>
        <w:ind w:left="0"/>
        <w:jc w:val="left"/>
        <w:rPr>
          <w:rFonts w:ascii="Calibri" w:hAnsi="Calibri" w:eastAsia="宋体" w:cs="Times New Roman"/>
          <w:kern w:val="0"/>
          <w:szCs w:val="22"/>
        </w:rPr>
      </w:pPr>
    </w:p>
    <w:p w14:paraId="0EE229BE">
      <w:pPr>
        <w:spacing w:before="120" w:after="120" w:line="288" w:lineRule="auto"/>
        <w:ind w:left="0" w:firstLine="0"/>
        <w:jc w:val="left"/>
        <w:rPr>
          <w:rFonts w:ascii="Calibri" w:hAnsi="Calibri" w:eastAsia="宋体" w:cs="Times New Roman"/>
          <w:kern w:val="0"/>
          <w:szCs w:val="22"/>
        </w:rPr>
      </w:pPr>
      <w:r>
        <w:rPr>
          <w:rFonts w:ascii="Arial" w:hAnsi="Arial" w:eastAsia="等线" w:cs="Arial"/>
          <w:b/>
          <w:kern w:val="0"/>
          <w:sz w:val="22"/>
          <w:szCs w:val="22"/>
        </w:rPr>
        <w:t>1审慎阅读和确认</w:t>
      </w:r>
    </w:p>
    <w:p w14:paraId="3D90CA1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甲乙双方确认已认真审阅协议文件所有条款以保证完全了解其详尽内容；双方确认协议文件所有条款均属甲乙双方平等协商一致而达成；双方同意并自愿接受协议文件中的各项条款并了解各项条款规定的权利和义务。</w:t>
      </w:r>
    </w:p>
    <w:p w14:paraId="5F49CE87">
      <w:pPr>
        <w:spacing w:before="120" w:after="120" w:line="288" w:lineRule="auto"/>
        <w:ind w:left="0" w:firstLine="0"/>
        <w:jc w:val="left"/>
        <w:rPr>
          <w:rFonts w:ascii="Calibri" w:hAnsi="Calibri" w:eastAsia="宋体" w:cs="Times New Roman"/>
          <w:kern w:val="0"/>
          <w:szCs w:val="22"/>
        </w:rPr>
      </w:pPr>
      <w:r>
        <w:rPr>
          <w:rFonts w:ascii="Arial" w:hAnsi="Arial" w:eastAsia="等线" w:cs="Arial"/>
          <w:b/>
          <w:kern w:val="0"/>
          <w:sz w:val="22"/>
          <w:szCs w:val="22"/>
        </w:rPr>
        <w:t>2跨境支付服务提供</w:t>
      </w:r>
    </w:p>
    <w:p w14:paraId="6E9A5872">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2.1“跨境人民币支付结算业务”是指获得中国人民银行批准，具有相关资质的第三方支付服务机构。以人民币为结算货币，为符合条件的境内外企业或个人提供以货物类贸易或服务类贸易为背景的境内对境外或境外对境内的支付结算服务。</w:t>
      </w:r>
    </w:p>
    <w:p w14:paraId="398784AB">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2.2甲方为乙方提供的跨境支付服务，仅限于货物贸易或服务贸易项下所产生的交易结</w:t>
      </w:r>
    </w:p>
    <w:p w14:paraId="7548CEA5">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算款项。</w:t>
      </w:r>
    </w:p>
    <w:p w14:paraId="03836FD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2.3甲方负责对乙方的业务受理、资金清算，并协助乙方处理在进行跨境人民币支付结算业务过程中发生的交易、账款、投诉等问题。</w:t>
      </w:r>
    </w:p>
    <w:p w14:paraId="5F16BE05">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2.4乙方自愿向甲方申请跨境人民币支付结算业务，经甲方同意后有权享受甲方提供的跨境人民币支付结算服务。</w:t>
      </w:r>
    </w:p>
    <w:p w14:paraId="16A670D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2.5乙方通过甲方受理的跨境人民币支付结算款项必须遵守中国人民银行关于跨境人民币支付结算的资金用途及限额规定。</w:t>
      </w:r>
    </w:p>
    <w:p w14:paraId="5DEB3E42">
      <w:pPr>
        <w:spacing w:before="120" w:after="120" w:line="288" w:lineRule="auto"/>
        <w:ind w:left="0" w:firstLine="0"/>
        <w:jc w:val="left"/>
        <w:rPr>
          <w:rFonts w:ascii="Calibri" w:hAnsi="Calibri" w:eastAsia="宋体" w:cs="Times New Roman"/>
          <w:kern w:val="0"/>
          <w:szCs w:val="22"/>
        </w:rPr>
      </w:pPr>
      <w:r>
        <w:rPr>
          <w:rFonts w:ascii="Arial" w:hAnsi="Arial" w:eastAsia="等线" w:cs="Arial"/>
          <w:b/>
          <w:kern w:val="0"/>
          <w:sz w:val="22"/>
          <w:szCs w:val="22"/>
        </w:rPr>
        <w:t>3甲方权利义务</w:t>
      </w:r>
    </w:p>
    <w:p w14:paraId="4CB485C2">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3.1甲方业务系统应满足数据安全处理要求。</w:t>
      </w:r>
    </w:p>
    <w:p w14:paraId="0874C2C5">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3.2甲方为乙方提供基于甲方支付业务平台的跨境支付、结算、退款等服务。</w:t>
      </w:r>
    </w:p>
    <w:p w14:paraId="1A9F5941">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3.3甲方应保护用户的交易传输安全，在乙方保证前端传输链路的畅通的情况下，甲方确保用户交易传输安全。</w:t>
      </w:r>
    </w:p>
    <w:p w14:paraId="3C10B6EE">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3.4甲方应提供乙方接入甲方系统的接口规范，协助乙方进行相应的软件开发和调试工作，确保乙方系统正确连接甲方的业务平台。</w:t>
      </w:r>
    </w:p>
    <w:p w14:paraId="20FAC09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3.5甲方负责协助乙方业务过程中发生的交易、账款、投诉等问题，并提供处理意见。</w:t>
      </w:r>
    </w:p>
    <w:p w14:paraId="114675FE">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3.6甲方应定期将乙方成功支付的交易以流水文件的形式提供给乙方对账。</w:t>
      </w:r>
    </w:p>
    <w:p w14:paraId="30ABEA3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3.7甲方有权不定时地检查乙方的经营状况，及时监控和核对乙方交易情况，确保乙方交易支付正常开展；甲方基于自身行业经验判断或风险防范要求，有权定期或不定期对乙方的交易材料进行调阅查询，乙方在收到甲方的调阅查询通知后，应按照甲方的通知要求，在规定的期限内提供相关资料，包括但不限于客户的交易合同、交易材料、身份证明文件、银行账户证明文件及交易凭证等，否则甲方有权暂停乙方交易。</w:t>
      </w:r>
    </w:p>
    <w:p w14:paraId="72FCE52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3.8甲方有权审核乙方所开展的业务类型，对不符合本协议约定、或不符合中华人民共和国相关法律法规规定、或不符合商户注册地及经营所在地相关法律法规规定的业务，甲方有权拒绝执行操作。甲方有权对乙方支付方式及业务功能申请进行审核，审核通过后予以开通。</w:t>
      </w:r>
    </w:p>
    <w:p w14:paraId="49D0739E">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3.9甲方有权对乙方开展本协议约定业务的情况进行随时抽查、跟踪，有权根据已开展业务的风险状况、甲方的实际情况进行风险评级，并有权依据风险评级采取包括但不限于控制交易限额、暂时关闭部分支付方式和业务功能、调整交易款清算限额、调整交易款清算时限和方式、冻结交易款项、暂停或终止支付业务受理等风险管理措施。但甲方应将所采取风险管理措施的情况及时通知乙方。</w:t>
      </w:r>
    </w:p>
    <w:p w14:paraId="0D13D8DE">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3.10协议文件终止后，甲方可以对协议终止日起上溯至少五年内的交易进行调单核查并影印留存。在协议文件终止后五年内，甲方对本协议终止前的交易仍有向乙方查询及追索的权利，法律另有规定的除外。</w:t>
      </w:r>
    </w:p>
    <w:p w14:paraId="5264A3C5">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3.11甲方有权根据中国人民银行、合作银行对人民币跨境支付结算业务的相关要求对乙方开展的跨境人民币支付结算业务额度进行调整。</w:t>
      </w:r>
    </w:p>
    <w:p w14:paraId="55FB92EC">
      <w:pPr>
        <w:spacing w:before="120" w:after="120" w:line="288" w:lineRule="auto"/>
        <w:ind w:left="0" w:firstLine="0"/>
        <w:jc w:val="left"/>
        <w:rPr>
          <w:rFonts w:ascii="Calibri" w:hAnsi="Calibri" w:eastAsia="宋体" w:cs="Times New Roman"/>
          <w:kern w:val="0"/>
          <w:szCs w:val="22"/>
        </w:rPr>
      </w:pPr>
      <w:r>
        <w:rPr>
          <w:rFonts w:ascii="Arial" w:hAnsi="Arial" w:eastAsia="等线" w:cs="Arial"/>
          <w:b/>
          <w:kern w:val="0"/>
          <w:sz w:val="22"/>
          <w:szCs w:val="22"/>
        </w:rPr>
        <w:t>4乙方权利义务</w:t>
      </w:r>
    </w:p>
    <w:p w14:paraId="7C2D360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4.1乙方登记信息发生变更时，甲方可以重新审核乙方支付业务受理资质。当乙方不再具备受理资质时，甲方可以解除协议文件。</w:t>
      </w:r>
    </w:p>
    <w:p w14:paraId="58824BAE">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4.2乙方使用甲方跨境业务的业务用途</w:t>
      </w:r>
      <w:r>
        <w:rPr>
          <w:rFonts w:ascii="Arial" w:hAnsi="Arial" w:eastAsia="等线" w:cs="Arial"/>
          <w:b/>
          <w:kern w:val="0"/>
          <w:sz w:val="22"/>
          <w:szCs w:val="22"/>
          <w:u w:val="single"/>
        </w:rPr>
        <w:t>必须符合中国人民银行支付结算办法、反洗钱管理条例及其他制度规定，若乙方的跨境业务用途违反以上管理规定的，乙方必须承担一切法律责任，并赔偿因此对甲方及甲方合作银行所造成的所有经济损失。</w:t>
      </w:r>
    </w:p>
    <w:p w14:paraId="2326797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 xml:space="preserve">4.3乙方应按照甲方的业务受理要求规范受理支付结算业务，并接受甲方的指导和监督，因乙方未按甲方业务处理要求规范受理业务造成的相关损失和风险责任由乙方承担。 </w:t>
      </w:r>
    </w:p>
    <w:p w14:paraId="65379E2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4.4乙方将支付业务相关交易证明材料妥善保存，保存期限自交易日起</w:t>
      </w:r>
      <w:r>
        <w:rPr>
          <w:rFonts w:ascii="Arial" w:hAnsi="Arial" w:eastAsia="等线" w:cs="Arial"/>
          <w:b/>
          <w:kern w:val="0"/>
          <w:sz w:val="22"/>
          <w:szCs w:val="22"/>
          <w:u w:val="single"/>
        </w:rPr>
        <w:t>不少于五年</w:t>
      </w:r>
      <w:r>
        <w:rPr>
          <w:rFonts w:ascii="Arial" w:hAnsi="Arial" w:eastAsia="等线" w:cs="Arial"/>
          <w:kern w:val="0"/>
          <w:sz w:val="22"/>
          <w:szCs w:val="22"/>
        </w:rPr>
        <w:t>。乙方应妥善保管交易单据，在甲方需要时调取。如乙方收到甲方查询请求时，应在三个工作日内及时答复，不因终止或解除本协议而取消该义务，否则由此引起的损失由乙方承担。</w:t>
      </w:r>
    </w:p>
    <w:p w14:paraId="7951DE80">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4.5乙方向甲方申请成为商户时，应按照甲方要求向甲方如实提供相关信息，并提供</w:t>
      </w:r>
      <w:r>
        <w:rPr>
          <w:rFonts w:ascii="Arial" w:hAnsi="Arial" w:eastAsia="等线" w:cs="Arial"/>
          <w:b/>
          <w:kern w:val="0"/>
          <w:sz w:val="22"/>
          <w:szCs w:val="22"/>
          <w:u w:val="single"/>
        </w:rPr>
        <w:t>营业执照、税务登记证和法定代表人或负责人身份证等公司及公司代表人身份证明文件</w:t>
      </w:r>
      <w:r>
        <w:rPr>
          <w:rFonts w:ascii="Arial" w:hAnsi="Arial" w:eastAsia="等线" w:cs="Arial"/>
          <w:kern w:val="0"/>
          <w:sz w:val="22"/>
          <w:szCs w:val="22"/>
        </w:rPr>
        <w:t>。乙方应保证上述信息和相关资料均真实、合法、有效。甲方有权对乙方的主体资格、资信情况、经营状况等不时进行各种形式的审查，乙方应按甲方要求提供相关信息、书面说明和其他相关文件资料，以配合甲方实施的调查。对于因乙方提供信息不真实或不完整所造成的损失由乙方承担。</w:t>
      </w:r>
    </w:p>
    <w:p w14:paraId="5D15169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4.6乙方应在提交跨境支付结算交易指令的同时，向甲方提供与客户交易真实合同复印件等证明真实交易的文件资料（包括但不限于跨境人民币支付结算款项所对应的贸易合同、发票或服务提供单据、货物报关单等）。乙方独立承担因交易资料不准确、不真实而引发的一切责任。</w:t>
      </w:r>
    </w:p>
    <w:p w14:paraId="2CF6102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4.7乙方进行跨境交易的产品或服务，需严格遵守中国相关法律、法规、规章以及其他规范性文件的规定。乙方需按货物或服务贸易的规范要求自行完成报关完税等手续。若发生乙方提供的产品或服务存在违法中国法律和法规的情形，包括但不限于产品质量和知识产权的法律规定，甲方不承担任何责任，由乙方独立承担相应的全部法律责任。由此对乙方和其客户贸易造成影响的由乙方自行承担。如因乙方原因致使甲方遭受损失的，乙方应赔偿由此给甲方带来的损失。</w:t>
      </w:r>
    </w:p>
    <w:p w14:paraId="3AE2328D">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4.8</w:t>
      </w:r>
      <w:r>
        <w:rPr>
          <w:rFonts w:ascii="Arial" w:hAnsi="Arial" w:eastAsia="等线" w:cs="Arial"/>
          <w:b/>
          <w:kern w:val="0"/>
          <w:sz w:val="22"/>
          <w:szCs w:val="22"/>
          <w:u w:val="single"/>
        </w:rPr>
        <w:t>乙方不得使用甲方的跨境结算服务渠道进行洗钱、套现等违反国家法律法规的支付行为，不得使用甲方的跨境支付服务渠道进行非法营业资金的支付。</w:t>
      </w:r>
    </w:p>
    <w:p w14:paraId="22919EE9">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4.9甲方有权审核乙方跨境人民币支付结算业务的用途，对不符合中国人民银行支付结算办法、反洗钱管理条例及其他制度规定的、非法的业务，甲方有权拒绝执行操作并有权采用一切合法手段追究乙方的经济、法律责任。</w:t>
      </w:r>
    </w:p>
    <w:p w14:paraId="0D5163D0">
      <w:pPr>
        <w:spacing w:before="120" w:after="120" w:line="288" w:lineRule="auto"/>
        <w:ind w:left="0" w:firstLine="0"/>
        <w:jc w:val="left"/>
        <w:rPr>
          <w:rFonts w:ascii="Calibri" w:hAnsi="Calibri" w:eastAsia="宋体" w:cs="Times New Roman"/>
          <w:kern w:val="0"/>
          <w:szCs w:val="22"/>
        </w:rPr>
      </w:pPr>
      <w:r>
        <w:rPr>
          <w:rFonts w:ascii="Arial" w:hAnsi="Arial" w:eastAsia="等线" w:cs="Arial"/>
          <w:kern w:val="0"/>
          <w:sz w:val="22"/>
          <w:szCs w:val="22"/>
        </w:rPr>
        <w:t>4.10</w:t>
      </w:r>
      <w:r>
        <w:rPr>
          <w:rFonts w:ascii="Arial" w:hAnsi="Arial" w:eastAsia="等线" w:cs="Arial"/>
          <w:b/>
          <w:kern w:val="0"/>
          <w:sz w:val="22"/>
          <w:szCs w:val="22"/>
          <w:u w:val="single"/>
        </w:rPr>
        <w:t>如乙方或乙方资金往来方属于中国国家监管明确的制裁名单范围或存在明显嫌疑需进一步核实确认的，甲方有权拒绝执行乙方业务申请，同时甲方有权根据监管机构或部门指令对交易资金进行冻结处理。</w:t>
      </w:r>
    </w:p>
    <w:p w14:paraId="6C5EA14B">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4.11乙方须妥善保存交易系统资料及系统账户信息，经乙方系统账户提交的交易均视为有效交易，具有不可抵赖性。</w:t>
      </w:r>
    </w:p>
    <w:p w14:paraId="7F515AA0">
      <w:pPr>
        <w:spacing w:before="120" w:after="120" w:line="288" w:lineRule="auto"/>
        <w:ind w:left="0" w:firstLine="0"/>
        <w:jc w:val="left"/>
        <w:rPr>
          <w:rFonts w:ascii="Calibri" w:hAnsi="Calibri" w:eastAsia="宋体" w:cs="Times New Roman"/>
          <w:kern w:val="0"/>
          <w:szCs w:val="22"/>
        </w:rPr>
      </w:pPr>
      <w:r>
        <w:rPr>
          <w:rFonts w:ascii="Arial" w:hAnsi="Arial" w:eastAsia="等线" w:cs="Arial"/>
          <w:b/>
          <w:kern w:val="0"/>
          <w:sz w:val="22"/>
          <w:szCs w:val="22"/>
        </w:rPr>
        <w:t>5费用及结算</w:t>
      </w:r>
    </w:p>
    <w:p w14:paraId="1DE54776">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5.1甲方为乙方提供支付业务交易处理，乙方须按约定的标准向甲方支付交易手续费，具体以商户后台展示的为准。交易手续费将在乙方交易资金中扣除，甲方将乙方交易资金在扣除本协议约定的交易手续费后，清算至乙方指定的结算账户中。</w:t>
      </w:r>
    </w:p>
    <w:p w14:paraId="60CDDEF9">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5.2 若乙方未能遵守本协议约定的保证金及各项费用付款期限，甲方有权按乙方每延迟一日应付金额的万分之三标准加收乙方的迟延付款违约金，且该违约金从每期服务费用结算日当天开始计算，证书在费用缴纳之前甲方有权顺延发放。若逾期超过十天，甲方有权从乙方清算资金中扣取乙方未付的服务费用和违约金。若超过二十天乙方仍未缴纳，甲方有权解除协议，但并不因此减少或免除乙方应当支付的服务费用和违约金。</w:t>
      </w:r>
    </w:p>
    <w:p w14:paraId="094DE4CA">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5.3甲方向乙方收取结算手续费，累计交易资金足以抵扣相关费用时，则甲方扣除结算手续费及其他费用后，向乙方跨境结算。若中国人民银行或甲方合作银行对交易的真实性进行调查，则甲方在该调查结束并确认交易真实性后向乙方进行跨境清算。</w:t>
      </w:r>
    </w:p>
    <w:p w14:paraId="551A8CCA">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5.4 发生以下情况时，甲方可以从乙方应收的交易结算资金中抵扣相应款项。如乙方交易结算资金不足抵扣时，甲方应及时通知乙方补足差额资金，乙方应自甲方通知补足差额资金之日（含）起 3 个工作日内补足。对因乙方原因造成的甲方垫款，甲方有权向乙方追索。</w:t>
      </w:r>
    </w:p>
    <w:p w14:paraId="41269156">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5.4.1发卡机构退单；</w:t>
      </w:r>
    </w:p>
    <w:p w14:paraId="46812D54">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5.4.2.乙方发生退货交易；</w:t>
      </w:r>
    </w:p>
    <w:p w14:paraId="6215A350">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5.4.3由于计算错误或其他原因导致甲方向乙方多支付的款型或其他经乙方确认的长款；</w:t>
      </w:r>
    </w:p>
    <w:p w14:paraId="2A2E4A6B">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 xml:space="preserve">5.4.4.其他应由乙方支付的款项。 </w:t>
      </w:r>
    </w:p>
    <w:p w14:paraId="4A85AEAA">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5.5乙方主营业务发生变更导致乙方适用的手续费标准发生变化时，甲方可与乙方重新协商确定手续费标准，并签订补充协议。协商不一致时，甲方可以解除协议文件。</w:t>
      </w:r>
    </w:p>
    <w:p w14:paraId="5C1A0206">
      <w:pPr>
        <w:spacing w:before="120" w:after="120" w:line="288" w:lineRule="auto"/>
        <w:ind w:left="0" w:firstLine="0"/>
        <w:jc w:val="left"/>
        <w:rPr>
          <w:rFonts w:ascii="Calibri" w:hAnsi="Calibri" w:eastAsia="宋体" w:cs="Times New Roman"/>
          <w:kern w:val="0"/>
          <w:szCs w:val="22"/>
        </w:rPr>
      </w:pPr>
      <w:r>
        <w:rPr>
          <w:rFonts w:ascii="Arial" w:hAnsi="Arial" w:eastAsia="等线" w:cs="Arial"/>
          <w:b/>
          <w:kern w:val="0"/>
          <w:sz w:val="22"/>
          <w:szCs w:val="22"/>
        </w:rPr>
        <w:t>6违约责任及免责</w:t>
      </w:r>
    </w:p>
    <w:p w14:paraId="2A7407E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乙方同意并确认，若乙方出现以下任一种情形时，视为乙方严重违约，甲方可以立即终止乙方的支付业务受理，并采取暂缓乙方全部或部分交易资金结算、收回全部终端设备、解除协议文件等措施，由此造成的相关损失和风险责任由乙方承担。乙方除依照协议文件相关条款赔偿、承担损失外，还需按照违法犯罪活动中利用甲方支付系统发生交易的违法交易金额向甲方支付违约金。甲方可以将乙方相关信息报送至中国人民银行或其他监管机构。</w:t>
      </w:r>
    </w:p>
    <w:p w14:paraId="7E0E77AD">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 甲方提出调取交易证明材料时，乙方拒绝配合或不能在规定的时限内提交有效交易证明材料；</w:t>
      </w:r>
    </w:p>
    <w:p w14:paraId="5264A55E">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6.1.2. 甲方无法根据乙方提供的联系信息与乙方取得联系；</w:t>
      </w:r>
    </w:p>
    <w:p w14:paraId="54FDA871">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6.1.3. 乙方参与伪卡、冒用卡交易，导致发卡机构退单，且乙方逃避承担退单损失；</w:t>
      </w:r>
    </w:p>
    <w:p w14:paraId="0E7987EF">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6.1.4. 基于中国人民银行、行业协会及其他法定义务所要求的反洗钱、反套现等措施甲方所进行的交易分析中，甲方有合理理由认定交易存在可疑之处，或甲方认为交易存在可疑之处但乙方无法提供合理解释；</w:t>
      </w:r>
    </w:p>
    <w:p w14:paraId="16373094">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6.1.5. 未按照甲方提供的商户业务培训资料规范受理支付结算业务的行为；</w:t>
      </w:r>
    </w:p>
    <w:p w14:paraId="5293F7F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6.1.6. 乙方使用支付结算开展超出本协议中所约定业务范围的；</w:t>
      </w:r>
    </w:p>
    <w:p w14:paraId="2FE2BEDD">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6.1.7. 乙方或乙方员工利用乙方作为甲方商户的条件，涉嫌从事或被他人利用从事套现、洗钱、恐怖融资、赌博、传销等违法犯罪活动；</w:t>
      </w:r>
    </w:p>
    <w:p w14:paraId="63DFA039">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6.1.8.乙方以虚假资料或冒用其它商户的资料向甲方申请成为商户；</w:t>
      </w:r>
    </w:p>
    <w:p w14:paraId="688BA50B">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6.1.9.乙方或乙方员工违反账户信息与交易数据安全管理的规定，违规使用、存储、传输持卡人账户信息与交易数据，导致持卡人账户信息与交易数据泄露或发生账户信息与交易数据被篡改、破坏等情形；</w:t>
      </w:r>
    </w:p>
    <w:p w14:paraId="6842C517">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6.1.10.乙方将其他商户发生的交易，假冒为乙方受理的交易与甲方结算；</w:t>
      </w:r>
    </w:p>
    <w:p w14:paraId="18739EC0">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6.1.11乙方在接受支付结算的预付款后故意破产，使甲方承担退单损失；</w:t>
      </w:r>
    </w:p>
    <w:p w14:paraId="60C6FBF3">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6.1.12乙方在持卡人不知情的情况下，利用持卡人账户信息编造虚假交易或在持卡人消费时重复扣费，进行虚假交易；</w:t>
      </w:r>
    </w:p>
    <w:p w14:paraId="47162CB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6.1.13乙方当月受理的交易中，伪卡、冒用卡交易比率超过甲方商户平均比率；</w:t>
      </w:r>
    </w:p>
    <w:p w14:paraId="2385D151">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6.1.14拒绝配合调取交易证明材料或不能提供有效证明材料，造成发卡机构退单且逃避承担退单责任；</w:t>
      </w:r>
    </w:p>
    <w:p w14:paraId="3B261F95">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6.1.15名义经营范围与实际情况不符；</w:t>
      </w:r>
    </w:p>
    <w:p w14:paraId="722001EB">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6.1.16因欺诈交易或其他原因已被司法机关立案或介入调查；</w:t>
      </w:r>
    </w:p>
    <w:p w14:paraId="46D34DE2">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6.1.17被工商部门注销登记、吊销营业执照，或由于违反国家法律法规、规章、相关行业管理规定，被有关机构查处；因经营不善，导致停业整顿、倒闭；</w:t>
      </w:r>
    </w:p>
    <w:p w14:paraId="3E01744F">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6.1.18乙方涉及重大民事纠纷或涉嫌经济犯罪，或乙方法人代表、主要负责人涉及上述纠纷或犯罪影响乙方正常业务经营；</w:t>
      </w:r>
    </w:p>
    <w:p w14:paraId="47D4DA63">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6.1.19 乙方直接或变相出租、出借、购买支付账户；</w:t>
      </w:r>
    </w:p>
    <w:p w14:paraId="46151B1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6.1.20利用甲方支付服务从事损害第三方利益或其它公共利益活动；</w:t>
      </w:r>
    </w:p>
    <w:p w14:paraId="216EE1CB">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6.1.21.经中国人民银行等国家监管机构或银行卡组织认定属于“高风险商户”；</w:t>
      </w:r>
    </w:p>
    <w:p w14:paraId="0C2CDD89">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6.1.22其它严重违反协议文件的行为。</w:t>
      </w:r>
    </w:p>
    <w:p w14:paraId="20537009">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6.2除协议文件另有约定外，若一方的违约行为给另一方造成损失（包括一方雇员违反协议约定），违约方应当赔偿因其违约行为给另一方造成的损失，并承担另一方为挽回损失而采取相关措施所花费的全部合理费用，包括但不限于诉讼费、律师费、差旅费、调查取证费用等。如因一方违约，导致另一方损失或对第三方承担损失赔偿责任的，受损失方可以向违约方追索。</w:t>
      </w:r>
    </w:p>
    <w:p w14:paraId="02AFC520">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6.3由于不可抗力致使甲乙双方或任何一方不能履行或不能完全履行协议文件的义务和责任时，遭受不可抗力的一方必须及时书面通知另一方，说明终止或延期履行全部或部分协议的理由，并提供有关证明文件。根据不可抗力终止履行或延期履行全部或部分协议，双方对此造成的损失互不承担责任。</w:t>
      </w:r>
    </w:p>
    <w:p w14:paraId="68561045">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6.4.乙方存在以下情况的，甲方有权责令更改、中止、终止协议，并要求乙方承担相应违约责任：</w:t>
      </w:r>
    </w:p>
    <w:p w14:paraId="74A5B5B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6.4.1.乙方资质已过有效期或乙方有关营业无法为继；</w:t>
      </w:r>
    </w:p>
    <w:p w14:paraId="78646473">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6.4.2.乙方违反协议开展业务，超范围、区域开展业务，业务操作存在风险隐患或业务系统存在安全漏洞的；</w:t>
      </w:r>
    </w:p>
    <w:p w14:paraId="67FD00B2">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6.4.3.因乙方的违规或违约行为，导致乙方或甲方受到监管机关、人民银行、中国银联、银行卡组织或其它有权机关的警告、处罚；</w:t>
      </w:r>
    </w:p>
    <w:p w14:paraId="45C96402">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6.4.4.乙方未经同意或超出同意范围使用甲方品牌元素，影响甲方业务正常开展，或造成甲方业务损失和不良影响的。</w:t>
      </w:r>
    </w:p>
    <w:p w14:paraId="40F70898">
      <w:pPr>
        <w:spacing w:before="120" w:after="120" w:line="288" w:lineRule="auto"/>
        <w:ind w:left="0" w:firstLine="0"/>
        <w:jc w:val="left"/>
        <w:rPr>
          <w:rFonts w:ascii="Calibri" w:hAnsi="Calibri" w:eastAsia="宋体" w:cs="Times New Roman"/>
          <w:kern w:val="0"/>
          <w:szCs w:val="22"/>
        </w:rPr>
      </w:pPr>
      <w:r>
        <w:rPr>
          <w:rFonts w:ascii="Arial" w:hAnsi="Arial" w:eastAsia="等线" w:cs="Arial"/>
          <w:b/>
          <w:kern w:val="0"/>
          <w:sz w:val="22"/>
          <w:szCs w:val="22"/>
        </w:rPr>
        <w:t>7协议效力、管辖</w:t>
      </w:r>
    </w:p>
    <w:p w14:paraId="756ACF22">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7.1本协议的签订、履行、终止、解释均适用中华人民共和国法律。本协议执行期间如中国人民银行、中国银行业监督管理委员会的相关规定发生变化，或其他法律法规、规章、行业规范发生变化，监管要求发生变化，双方可协商变更协议相应条款。当双方在中国人民银行、中国银行业监督管理委员会的相关规定或其他法律法规、规章、行业规范生效前15个工作日之前未能协商达成一致时，甲乙双方均有权解除本协议。若因中国人民银行、中国银行业监督管理委员会的相关规定与本协议业务发生冲突、并导致本协议不能履行的，甲方有权立即解除本协议，不负违约责任。</w:t>
      </w:r>
    </w:p>
    <w:p w14:paraId="39A4A2C9">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7.2本协议中的约定如与将来政府（包括中国及业务所在地）有权机关制定的相关法律法规或规范文件等（以下简称“法规”）相冲突，双方届时应按照法规执行，但不影响协议其它约定的效力。如该冲突实质影响了本协议下目的实现的，任何一方有权提出协商终止协议，但双方应妥善处理协议终止前未结的业务。对本协议任何增减、变更或补充，均须由双方协商一致以书面补充协议的形式约定。</w:t>
      </w:r>
    </w:p>
    <w:p w14:paraId="226BC368">
      <w:pPr>
        <w:spacing w:before="120" w:after="120" w:line="288" w:lineRule="auto"/>
        <w:ind w:left="0" w:firstLine="0"/>
        <w:jc w:val="left"/>
        <w:rPr>
          <w:rFonts w:ascii="Calibri" w:hAnsi="Calibri" w:eastAsia="宋体" w:cs="Times New Roman"/>
          <w:kern w:val="0"/>
          <w:szCs w:val="22"/>
        </w:rPr>
      </w:pPr>
      <w:r>
        <w:rPr>
          <w:rFonts w:ascii="Arial" w:hAnsi="Arial" w:eastAsia="等线" w:cs="Arial"/>
          <w:kern w:val="0"/>
          <w:sz w:val="22"/>
          <w:szCs w:val="22"/>
        </w:rPr>
        <w:t xml:space="preserve">7.3本协议有效期1年，到期后双方如无异议，协议将自动顺延一年，顺延次数不限。除协议文件另有约定外，任何一方需提前 30 </w:t>
      </w:r>
      <w:bookmarkStart w:id="0" w:name="_GoBack"/>
      <w:bookmarkEnd w:id="0"/>
      <w:r>
        <w:rPr>
          <w:rFonts w:ascii="Arial" w:hAnsi="Arial" w:eastAsia="等线" w:cs="Arial"/>
          <w:kern w:val="0"/>
          <w:sz w:val="22"/>
          <w:szCs w:val="22"/>
        </w:rPr>
        <w:t>日书面通知另一方解除协议。</w:t>
      </w:r>
    </w:p>
    <w:p w14:paraId="766EA876">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7.4</w:t>
      </w:r>
      <w:r>
        <w:rPr>
          <w:rFonts w:ascii="Arial" w:hAnsi="Arial" w:eastAsia="等线" w:cs="Arial"/>
          <w:b/>
          <w:kern w:val="0"/>
          <w:sz w:val="22"/>
          <w:szCs w:val="22"/>
          <w:u w:val="single"/>
        </w:rPr>
        <w:t>协议文件的终止不影响双方在协议文件终止前已按协议文件条款累积的权利和义务；协议文件终止时，双方应相互结清根据协议文件规定应付未付的各项款项。</w:t>
      </w:r>
    </w:p>
    <w:p w14:paraId="712F413B">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7.5甲乙双方在协议执行中发生争议，应首先本着友好协商的精神商议解决，如协商不能解决时，任何一方都有权向本合同签订地的所属人民法院（西湖区人民法院）提起诉讼。</w:t>
      </w:r>
    </w:p>
    <w:p w14:paraId="4254D4BA">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7.6甲乙双方确认协议文件个别条款无效不影响其它条款的有效性。协议文件如有未尽事宜，双方可协商一致并签订补充协议，补充协议与协议文件具备同等法律效力。</w:t>
      </w:r>
    </w:p>
    <w:p w14:paraId="5DB8C4C1">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7.7协议文件壹式贰份，甲乙双方各执壹份，具有同等法律效力，双方签字或盖章后生效。</w:t>
      </w:r>
    </w:p>
    <w:p w14:paraId="1699FF68">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（以下无正文）</w:t>
      </w:r>
    </w:p>
    <w:p w14:paraId="72751D7F">
      <w:pPr>
        <w:spacing w:before="120" w:after="120" w:line="288" w:lineRule="auto"/>
        <w:ind w:left="0"/>
        <w:jc w:val="left"/>
        <w:rPr>
          <w:rFonts w:ascii="Calibri" w:hAnsi="Calibri" w:eastAsia="宋体" w:cs="Times New Roman"/>
          <w:kern w:val="0"/>
          <w:szCs w:val="22"/>
        </w:rPr>
      </w:pPr>
    </w:p>
    <w:p w14:paraId="1160059E">
      <w:pPr>
        <w:spacing w:before="120" w:after="120" w:line="288" w:lineRule="auto"/>
        <w:ind w:left="0"/>
        <w:jc w:val="left"/>
        <w:rPr>
          <w:rFonts w:ascii="Calibri" w:hAnsi="Calibri" w:eastAsia="宋体" w:cs="Times New Roman"/>
          <w:kern w:val="0"/>
          <w:szCs w:val="22"/>
        </w:rPr>
      </w:pPr>
    </w:p>
    <w:p w14:paraId="4CD532AD">
      <w:pPr>
        <w:spacing w:before="120" w:after="120" w:line="288" w:lineRule="auto"/>
        <w:ind w:left="0"/>
        <w:jc w:val="left"/>
        <w:rPr>
          <w:rFonts w:ascii="Calibri" w:hAnsi="Calibri" w:eastAsia="宋体" w:cs="Times New Roman"/>
          <w:kern w:val="0"/>
          <w:szCs w:val="22"/>
        </w:rPr>
      </w:pPr>
    </w:p>
    <w:p w14:paraId="1DF939F2">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甲方（盖章）：</w:t>
      </w:r>
      <w:r>
        <w:rPr>
          <w:rFonts w:ascii="Arial" w:hAnsi="Arial" w:eastAsia="等线" w:cs="Arial"/>
          <w:kern w:val="0"/>
          <w:sz w:val="22"/>
          <w:szCs w:val="22"/>
          <w:u w:val="single"/>
        </w:rPr>
        <w:t>北京有赞支付有限公司</w:t>
      </w:r>
    </w:p>
    <w:p w14:paraId="7BC616F3">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 xml:space="preserve">法人或授权代表（签字）： </w:t>
      </w:r>
    </w:p>
    <w:p w14:paraId="5BD63B76">
      <w:pPr>
        <w:spacing w:before="120" w:after="120" w:line="288" w:lineRule="auto"/>
        <w:ind w:left="0"/>
        <w:jc w:val="left"/>
        <w:rPr>
          <w:rFonts w:ascii="Calibri" w:hAnsi="Calibri" w:eastAsia="宋体" w:cs="Times New Roman"/>
          <w:kern w:val="0"/>
          <w:szCs w:val="22"/>
        </w:rPr>
      </w:pPr>
    </w:p>
    <w:p w14:paraId="1243A860">
      <w:pPr>
        <w:spacing w:before="120" w:after="120" w:line="288" w:lineRule="auto"/>
        <w:ind w:left="0"/>
        <w:jc w:val="left"/>
        <w:rPr>
          <w:rFonts w:ascii="Calibri" w:hAnsi="Calibri" w:eastAsia="宋体" w:cs="Times New Roman"/>
          <w:kern w:val="0"/>
          <w:szCs w:val="22"/>
        </w:rPr>
      </w:pPr>
    </w:p>
    <w:p w14:paraId="4C5C56BE">
      <w:pPr>
        <w:spacing w:before="120" w:after="120" w:line="288" w:lineRule="auto"/>
        <w:ind w:left="0" w:firstLine="0"/>
        <w:jc w:val="left"/>
        <w:rPr>
          <w:rFonts w:ascii="Calibri" w:hAnsi="Calibri" w:eastAsia="宋体" w:cs="Times New Roman"/>
          <w:kern w:val="0"/>
          <w:szCs w:val="22"/>
        </w:rPr>
      </w:pPr>
      <w:r>
        <w:rPr>
          <w:rFonts w:ascii="Arial" w:hAnsi="Arial" w:eastAsia="等线" w:cs="Arial"/>
          <w:kern w:val="0"/>
          <w:sz w:val="22"/>
          <w:szCs w:val="22"/>
        </w:rPr>
        <w:t>乙方（盖章）：</w:t>
      </w:r>
      <w:r>
        <w:rPr>
          <w:rFonts w:ascii="Arial" w:hAnsi="Arial" w:eastAsia="等线" w:cs="Arial"/>
          <w:kern w:val="0"/>
          <w:sz w:val="22"/>
          <w:szCs w:val="22"/>
          <w:u w:val="single"/>
        </w:rPr>
        <w:t xml:space="preserve">                          </w:t>
      </w:r>
    </w:p>
    <w:p w14:paraId="56C796FA">
      <w:pPr>
        <w:spacing w:before="120" w:after="120" w:line="288" w:lineRule="auto"/>
        <w:ind w:left="0"/>
        <w:jc w:val="left"/>
        <w:rPr>
          <w:rFonts w:ascii="Calibri" w:hAnsi="Calibri" w:eastAsia="宋体" w:cs="Times New Roman"/>
          <w:kern w:val="0"/>
          <w:szCs w:val="22"/>
        </w:rPr>
      </w:pPr>
      <w:r>
        <w:rPr>
          <w:rFonts w:ascii="Arial" w:hAnsi="Arial" w:eastAsia="等线" w:cs="Arial"/>
          <w:kern w:val="0"/>
          <w:sz w:val="22"/>
          <w:szCs w:val="22"/>
        </w:rPr>
        <w:t xml:space="preserve">法人或授权代表（签字）：  </w:t>
      </w:r>
    </w:p>
    <w:p w14:paraId="7F4CD0DB">
      <w:pPr>
        <w:spacing w:before="120" w:after="120" w:line="288" w:lineRule="auto"/>
        <w:ind w:left="0"/>
        <w:jc w:val="left"/>
        <w:rPr>
          <w:rFonts w:ascii="Calibri" w:hAnsi="Calibri" w:eastAsia="宋体" w:cs="Times New Roman"/>
          <w:kern w:val="0"/>
          <w:szCs w:val="22"/>
        </w:rPr>
      </w:pPr>
    </w:p>
    <w:p w14:paraId="4E6FE764">
      <w:pPr>
        <w:spacing w:before="120" w:after="120" w:line="288" w:lineRule="auto"/>
        <w:ind w:left="0"/>
        <w:jc w:val="left"/>
        <w:rPr>
          <w:rFonts w:ascii="Calibri" w:hAnsi="Calibri" w:eastAsia="宋体" w:cs="Times New Roman"/>
          <w:kern w:val="0"/>
          <w:szCs w:val="22"/>
        </w:rPr>
      </w:pPr>
    </w:p>
    <w:p w14:paraId="13240648">
      <w:r>
        <w:rPr>
          <w:rFonts w:ascii="Arial" w:hAnsi="Arial" w:eastAsia="等线" w:cs="Arial"/>
          <w:kern w:val="0"/>
          <w:sz w:val="22"/>
          <w:szCs w:val="22"/>
        </w:rPr>
        <w:t>签订日期：</w:t>
      </w:r>
      <w:r>
        <w:rPr>
          <w:rFonts w:ascii="Arial" w:hAnsi="Arial" w:eastAsia="等线" w:cs="Arial"/>
          <w:kern w:val="0"/>
          <w:sz w:val="22"/>
          <w:szCs w:val="22"/>
          <w:u w:val="single"/>
        </w:rPr>
        <w:t xml:space="preserve">      </w:t>
      </w:r>
      <w:r>
        <w:rPr>
          <w:rFonts w:ascii="Arial" w:hAnsi="Arial" w:eastAsia="等线" w:cs="Arial"/>
          <w:kern w:val="0"/>
          <w:sz w:val="22"/>
          <w:szCs w:val="22"/>
        </w:rPr>
        <w:t>年</w:t>
      </w:r>
      <w:r>
        <w:rPr>
          <w:rFonts w:ascii="Arial" w:hAnsi="Arial" w:eastAsia="等线" w:cs="Arial"/>
          <w:kern w:val="0"/>
          <w:sz w:val="22"/>
          <w:szCs w:val="22"/>
          <w:u w:val="single"/>
        </w:rPr>
        <w:t xml:space="preserve">      </w:t>
      </w:r>
      <w:r>
        <w:rPr>
          <w:rFonts w:ascii="Arial" w:hAnsi="Arial" w:eastAsia="等线" w:cs="Arial"/>
          <w:kern w:val="0"/>
          <w:sz w:val="22"/>
          <w:szCs w:val="22"/>
        </w:rPr>
        <w:t>月</w:t>
      </w:r>
      <w:r>
        <w:rPr>
          <w:rFonts w:ascii="Arial" w:hAnsi="Arial" w:eastAsia="等线" w:cs="Arial"/>
          <w:kern w:val="0"/>
          <w:sz w:val="22"/>
          <w:szCs w:val="22"/>
          <w:u w:val="single"/>
        </w:rPr>
        <w:t xml:space="preserve">      </w:t>
      </w:r>
      <w:r>
        <w:rPr>
          <w:rFonts w:ascii="Arial" w:hAnsi="Arial" w:eastAsia="等线" w:cs="Arial"/>
          <w:kern w:val="0"/>
          <w:sz w:val="22"/>
          <w:szCs w:val="2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31B02"/>
    <w:rsid w:val="1F2D3BB3"/>
    <w:rsid w:val="621951B0"/>
    <w:rsid w:val="67D31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5710</Words>
  <Characters>5954</Characters>
  <Lines>0</Lines>
  <Paragraphs>0</Paragraphs>
  <TotalTime>6</TotalTime>
  <ScaleCrop>false</ScaleCrop>
  <LinksUpToDate>false</LinksUpToDate>
  <CharactersWithSpaces>6019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2025-07-30T10:11:00Z</dcterms:created>
  <dc:creator>WPS_1569374936</dc:creator>
  <cp:lastModifiedBy>WPS_1569374936</cp:lastModifiedBy>
  <dcterms:modified xsi:type="dcterms:W3CDTF">2025-07-31T03:05:54Z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8644A01618254095BDA35581C5EDB456_11</vt:lpwstr>
  </property>
  <property fmtid="{D5CDD505-2E9C-101B-9397-08002B2CF9AE}" pid="4" name="KSOTemplateDocerSaveRecord">
    <vt:lpwstr>eyJoZGlkIjoiYjM5ODhjY2NiY2JiZmUyODU1MzU0ZDAwOTA1ZjgzZGUiLCJ1c2VySWQiOiI2NzMzMDc3MzIifQ==</vt:lpwstr>
  </property>
</Properties>
</file>